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b/>
          <w:bCs/>
          <w:color w:val="12365A"/>
          <w:sz w:val="56"/>
          <w:szCs w:val="56"/>
        </w:rPr>
        <w:t xml:space="preserve">MÉMOIRE TECHNIQUE</w:t>
      </w:r>
    </w:p>
    <w:p>
      <w:pPr>
        <w:pBdr>
          <w:bottom w:val="single" w:color="E8630A" w:sz="12"/>
        </w:pBdr>
        <w:spacing w:before="200"/>
        <w:jc w:val="center"/>
      </w:pPr>
      <w:r>
        <w:rPr>
          <w:sz w:val="8"/>
          <w:szCs w:val="8"/>
        </w:rPr>
        <w:t xml:space="preserve"> </w:t>
      </w:r>
    </w:p>
    <w:p>
      <w:pPr>
        <w:spacing w:before="400"/>
        <w:jc w:val="center"/>
      </w:pPr>
      <w:r>
        <w:rPr>
          <w:b/>
          <w:bCs/>
          <w:sz w:val="28"/>
          <w:szCs w:val="28"/>
        </w:rPr>
        <w:t xml:space="preserve">Travaux de remise en peinture de l'école élémentaire des Treilles — lot 4 : peinture intérieure</w:t>
      </w:r>
    </w:p>
    <w:p>
      <w:pPr>
        <w:spacing w:before="100"/>
        <w:jc w:val="center"/>
      </w:pPr>
      <w:r>
        <w:rPr>
          <w:color w:val="555555"/>
          <w:sz w:val="24"/>
          <w:szCs w:val="24"/>
        </w:rPr>
        <w:t xml:space="preserve">Lot 4</w:t>
      </w:r>
    </w:p>
    <w:p>
      <w:pPr>
        <w:spacing w:before="300"/>
        <w:jc w:val="center"/>
      </w:pPr>
      <w:r>
        <w:rPr>
          <w:sz w:val="24"/>
          <w:szCs w:val="24"/>
        </w:rPr>
        <w:t xml:space="preserve">Acheteur : Commune de Vertou</w:t>
      </w:r>
    </w:p>
    <w:p>
      <w:pPr>
        <w:jc w:val="center"/>
      </w:pPr>
      <w:r>
        <w:rPr>
          <w:sz w:val="24"/>
          <w:szCs w:val="24"/>
        </w:rPr>
        <w:t xml:space="preserve">Lieu d'exécution : École élémentaire des Treilles, Vertou (44120)</w:t>
      </w:r>
    </w:p>
    <w:p>
      <w:pPr>
        <w:spacing w:before="800"/>
        <w:jc w:val="center"/>
      </w:pPr>
      <w:r>
        <w:rPr>
          <w:b/>
          <w:bCs/>
          <w:color w:val="E8630A"/>
          <w:sz w:val="32"/>
          <w:szCs w:val="32"/>
        </w:rPr>
        <w:t xml:space="preserve">Peinture Morel</w:t>
      </w:r>
    </w:p>
    <w:p>
      <w:pPr>
        <w:jc w:val="center"/>
      </w:pPr>
      <w:r>
        <w:rPr>
          <w:color w:val="555555"/>
          <w:sz w:val="22"/>
          <w:szCs w:val="22"/>
        </w:rPr>
        <w:t xml:space="preserve">SARL — SIRET 84293107600017</w:t>
      </w:r>
    </w:p>
    <w:p>
      <w:pPr>
        <w:jc w:val="center"/>
      </w:pPr>
      <w:r>
        <w:rPr>
          <w:color w:val="555555"/>
          <w:sz w:val="20"/>
          <w:szCs w:val="20"/>
        </w:rPr>
        <w:t xml:space="preserve">12 rue des Chantiers, 44300 Nantes — 02 40 12 34 56 — contact@peinture-morel.fr</w:t>
      </w:r>
    </w:p>
    <w:p>
      <w:pPr>
        <w:pageBreakBefore/>
      </w:pPr>
    </w:p>
    <w:p>
      <w:pPr>
        <w:spacing w:after="240"/>
      </w:pPr>
      <w:r>
        <w:rPr>
          <w:b/>
          <w:bCs/>
          <w:color w:val="12365A"/>
          <w:sz w:val="32"/>
          <w:szCs w:val="32"/>
        </w:rPr>
        <w:t xml:space="preserve">SOMMAIRE</w:t>
      </w:r>
    </w:p>
    <w:p>
      <w:pPr>
        <w:spacing w:after="100"/>
      </w:pPr>
      <w:r>
        <w:rPr>
          <w:b/>
          <w:bCs/>
          <w:color w:val="E8630A"/>
          <w:sz w:val="24"/>
          <w:szCs w:val="24"/>
        </w:rPr>
        <w:t xml:space="preserve">1.  </w:t>
      </w:r>
      <w:r>
        <w:rPr>
          <w:sz w:val="24"/>
          <w:szCs w:val="24"/>
        </w:rPr>
        <w:t xml:space="preserve">Présentation de l'entreprise</w:t>
      </w:r>
    </w:p>
    <w:p>
      <w:pPr>
        <w:spacing w:after="100"/>
      </w:pPr>
      <w:r>
        <w:rPr>
          <w:b/>
          <w:bCs/>
          <w:color w:val="E8630A"/>
          <w:sz w:val="24"/>
          <w:szCs w:val="24"/>
        </w:rPr>
        <w:t xml:space="preserve">2.  </w:t>
      </w:r>
      <w:r>
        <w:rPr>
          <w:sz w:val="24"/>
          <w:szCs w:val="24"/>
        </w:rPr>
        <w:t xml:space="preserve">Compréhension du besoin et contexte de l'opération</w:t>
      </w:r>
    </w:p>
    <w:p>
      <w:pPr>
        <w:spacing w:after="100"/>
      </w:pPr>
      <w:r>
        <w:rPr>
          <w:b/>
          <w:bCs/>
          <w:color w:val="E8630A"/>
          <w:sz w:val="24"/>
          <w:szCs w:val="24"/>
        </w:rPr>
        <w:t xml:space="preserve">3.  </w:t>
      </w:r>
      <w:r>
        <w:rPr>
          <w:sz w:val="24"/>
          <w:szCs w:val="24"/>
        </w:rPr>
        <w:t xml:space="preserve">Moyens humains affectés au chantier</w:t>
      </w:r>
    </w:p>
    <w:p>
      <w:pPr>
        <w:spacing w:after="100"/>
      </w:pPr>
      <w:r>
        <w:rPr>
          <w:b/>
          <w:bCs/>
          <w:color w:val="E8630A"/>
          <w:sz w:val="24"/>
          <w:szCs w:val="24"/>
        </w:rPr>
        <w:t xml:space="preserve">4.  </w:t>
      </w:r>
      <w:r>
        <w:rPr>
          <w:sz w:val="24"/>
          <w:szCs w:val="24"/>
        </w:rPr>
        <w:t xml:space="preserve">Moyens matériels et fournitures</w:t>
      </w:r>
    </w:p>
    <w:p>
      <w:pPr>
        <w:spacing w:after="100"/>
      </w:pPr>
      <w:r>
        <w:rPr>
          <w:b/>
          <w:bCs/>
          <w:color w:val="E8630A"/>
          <w:sz w:val="24"/>
          <w:szCs w:val="24"/>
        </w:rPr>
        <w:t xml:space="preserve">5.  </w:t>
      </w:r>
      <w:r>
        <w:rPr>
          <w:sz w:val="24"/>
          <w:szCs w:val="24"/>
        </w:rPr>
        <w:t xml:space="preserve">Méthodologie et organisation du chantier</w:t>
      </w:r>
    </w:p>
    <w:p>
      <w:pPr>
        <w:spacing w:after="100"/>
      </w:pPr>
      <w:r>
        <w:rPr>
          <w:b/>
          <w:bCs/>
          <w:color w:val="E8630A"/>
          <w:sz w:val="24"/>
          <w:szCs w:val="24"/>
        </w:rPr>
        <w:t xml:space="preserve">6.  </w:t>
      </w:r>
      <w:r>
        <w:rPr>
          <w:sz w:val="24"/>
          <w:szCs w:val="24"/>
        </w:rPr>
        <w:t xml:space="preserve">Planning prévisionnel et respect des délais</w:t>
      </w:r>
    </w:p>
    <w:p>
      <w:pPr>
        <w:spacing w:after="100"/>
      </w:pPr>
      <w:r>
        <w:rPr>
          <w:b/>
          <w:bCs/>
          <w:color w:val="E8630A"/>
          <w:sz w:val="24"/>
          <w:szCs w:val="24"/>
        </w:rPr>
        <w:t xml:space="preserve">7.  </w:t>
      </w:r>
      <w:r>
        <w:rPr>
          <w:sz w:val="24"/>
          <w:szCs w:val="24"/>
        </w:rPr>
        <w:t xml:space="preserve">Hygiène, sécurité et prévention</w:t>
      </w:r>
    </w:p>
    <w:p>
      <w:pPr>
        <w:spacing w:after="100"/>
      </w:pPr>
      <w:r>
        <w:rPr>
          <w:b/>
          <w:bCs/>
          <w:color w:val="E8630A"/>
          <w:sz w:val="24"/>
          <w:szCs w:val="24"/>
        </w:rPr>
        <w:t xml:space="preserve">8.  </w:t>
      </w:r>
      <w:r>
        <w:rPr>
          <w:sz w:val="24"/>
          <w:szCs w:val="24"/>
        </w:rPr>
        <w:t xml:space="preserve">Qualité, environnement et gestion des déchets</w:t>
      </w:r>
    </w:p>
    <w:p>
      <w:pPr>
        <w:spacing w:after="100"/>
      </w:pPr>
      <w:r>
        <w:rPr>
          <w:b/>
          <w:bCs/>
          <w:color w:val="E8630A"/>
          <w:sz w:val="24"/>
          <w:szCs w:val="24"/>
        </w:rPr>
        <w:t xml:space="preserve">9.  </w:t>
      </w:r>
      <w:r>
        <w:rPr>
          <w:sz w:val="24"/>
          <w:szCs w:val="24"/>
        </w:rPr>
        <w:t xml:space="preserve">Références de chantiers similaires</w:t>
      </w:r>
    </w:p>
    <w:p>
      <w:pPr>
        <w:pageBreakBefore/>
      </w:pPr>
    </w:p>
    <w:p>
      <w:pPr>
        <w:pStyle w:val="Heading1"/>
        <w:spacing w:after="160" w:before="400"/>
      </w:pPr>
      <w:r>
        <w:rPr>
          <w:b/>
          <w:bCs/>
          <w:color w:val="E8630A"/>
          <w:sz w:val="30"/>
          <w:szCs w:val="30"/>
        </w:rPr>
        <w:t xml:space="preserve">1. </w:t>
      </w:r>
      <w:r>
        <w:rPr>
          <w:b/>
          <w:bCs/>
          <w:color w:val="12365A"/>
          <w:sz w:val="30"/>
          <w:szCs w:val="30"/>
        </w:rPr>
        <w:t xml:space="preserve">Présentation de l'entreprise</w:t>
      </w:r>
    </w:p>
    <w:p>
      <w:pPr>
        <w:spacing w:after="120"/>
        <w:jc w:val="both"/>
      </w:pPr>
      <w:r>
        <w:rPr>
          <w:sz w:val="22"/>
          <w:szCs w:val="22"/>
        </w:rPr>
        <w:t xml:space="preserve">Peinture Morel est une entreprise de peinture &amp; revêtements (SARL) créée en 2011, soit 15 ans d'activité, implantée à Nantes. Entreprise de peinture intérieure et extérieure, revêtements muraux et sols souples, ravalement de façades. Interventions en neuf et en rénovation pour les collectivités, bailleurs sociaux et entreprises de la région nantaise.</w:t>
      </w:r>
    </w:p>
    <w:p>
      <w:pPr>
        <w:spacing w:after="120"/>
        <w:jc w:val="both"/>
      </w:pPr>
      <w:r>
        <w:rPr>
          <w:sz w:val="22"/>
          <w:szCs w:val="22"/>
        </w:rPr>
        <w:t xml:space="preserve">L'entreprise emploie 4 personnes et a réalisé un chiffre d'affaires de 420 000 € (2025). Elle est dirigée par Julien Morel, gérant, interlocuteur direct de l'acheteur pendant toute la durée du marché.</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shd w:fill="12365A"/>
            <w:tcMar>
              <w:top w:type="dxa" w:w="80"/>
              <w:left w:type="dxa" w:w="120"/>
              <w:bottom w:type="dxa" w:w="80"/>
              <w:right w:type="dxa" w:w="120"/>
            </w:tcMar>
          </w:tcPr>
          <w:p>
            <w:r>
              <w:rPr>
                <w:b/>
                <w:bCs/>
                <w:color w:val="FFFFFF"/>
                <w:sz w:val="20"/>
                <w:szCs w:val="20"/>
              </w:rPr>
              <w:t xml:space="preserve">Identité de l'entreprise</w:t>
            </w:r>
          </w:p>
        </w:tc>
        <w:tc>
          <w:tcPr>
            <w:shd w:fill="12365A"/>
            <w:tcMar>
              <w:top w:type="dxa" w:w="80"/>
              <w:left w:type="dxa" w:w="120"/>
              <w:bottom w:type="dxa" w:w="80"/>
              <w:right w:type="dxa" w:w="120"/>
            </w:tcMar>
          </w:tcPr>
          <w:p>
            <w:r>
              <w:rPr>
                <w:b/>
                <w:bCs/>
                <w:color w:val="FFFFFF"/>
                <w:sz w:val="20"/>
                <w:szCs w:val="20"/>
              </w:rPr>
              <w:t xml:space="preserve"/>
            </w:r>
          </w:p>
        </w:tc>
      </w:tr>
      <w:tr>
        <w:tc>
          <w:tcPr>
            <w:tcMar>
              <w:top w:type="dxa" w:w="80"/>
              <w:left w:type="dxa" w:w="120"/>
              <w:bottom w:type="dxa" w:w="80"/>
              <w:right w:type="dxa" w:w="120"/>
            </w:tcMar>
          </w:tcPr>
          <w:p>
            <w:r>
              <w:rPr>
                <w:sz w:val="20"/>
                <w:szCs w:val="20"/>
              </w:rPr>
              <w:t xml:space="preserve">Dénomination</w:t>
            </w:r>
          </w:p>
        </w:tc>
        <w:tc>
          <w:tcPr>
            <w:tcMar>
              <w:top w:type="dxa" w:w="80"/>
              <w:left w:type="dxa" w:w="120"/>
              <w:bottom w:type="dxa" w:w="80"/>
              <w:right w:type="dxa" w:w="120"/>
            </w:tcMar>
          </w:tcPr>
          <w:p>
            <w:r>
              <w:rPr>
                <w:sz w:val="20"/>
                <w:szCs w:val="20"/>
              </w:rPr>
              <w:t xml:space="preserve">Peinture Morel</w:t>
            </w:r>
          </w:p>
        </w:tc>
      </w:tr>
      <w:tr>
        <w:tc>
          <w:tcPr>
            <w:tcMar>
              <w:top w:type="dxa" w:w="80"/>
              <w:left w:type="dxa" w:w="120"/>
              <w:bottom w:type="dxa" w:w="80"/>
              <w:right w:type="dxa" w:w="120"/>
            </w:tcMar>
          </w:tcPr>
          <w:p>
            <w:r>
              <w:rPr>
                <w:sz w:val="20"/>
                <w:szCs w:val="20"/>
              </w:rPr>
              <w:t xml:space="preserve">Forme juridique</w:t>
            </w:r>
          </w:p>
        </w:tc>
        <w:tc>
          <w:tcPr>
            <w:tcMar>
              <w:top w:type="dxa" w:w="80"/>
              <w:left w:type="dxa" w:w="120"/>
              <w:bottom w:type="dxa" w:w="80"/>
              <w:right w:type="dxa" w:w="120"/>
            </w:tcMar>
          </w:tcPr>
          <w:p>
            <w:r>
              <w:rPr>
                <w:sz w:val="20"/>
                <w:szCs w:val="20"/>
              </w:rPr>
              <w:t xml:space="preserve">SARL</w:t>
            </w:r>
          </w:p>
        </w:tc>
      </w:tr>
      <w:tr>
        <w:tc>
          <w:tcPr>
            <w:tcMar>
              <w:top w:type="dxa" w:w="80"/>
              <w:left w:type="dxa" w:w="120"/>
              <w:bottom w:type="dxa" w:w="80"/>
              <w:right w:type="dxa" w:w="120"/>
            </w:tcMar>
          </w:tcPr>
          <w:p>
            <w:r>
              <w:rPr>
                <w:sz w:val="20"/>
                <w:szCs w:val="20"/>
              </w:rPr>
              <w:t xml:space="preserve">SIRET</w:t>
            </w:r>
          </w:p>
        </w:tc>
        <w:tc>
          <w:tcPr>
            <w:tcMar>
              <w:top w:type="dxa" w:w="80"/>
              <w:left w:type="dxa" w:w="120"/>
              <w:bottom w:type="dxa" w:w="80"/>
              <w:right w:type="dxa" w:w="120"/>
            </w:tcMar>
          </w:tcPr>
          <w:p>
            <w:r>
              <w:rPr>
                <w:sz w:val="20"/>
                <w:szCs w:val="20"/>
              </w:rPr>
              <w:t xml:space="preserve">84293107600017</w:t>
            </w:r>
          </w:p>
        </w:tc>
      </w:tr>
      <w:tr>
        <w:tc>
          <w:tcPr>
            <w:tcMar>
              <w:top w:type="dxa" w:w="80"/>
              <w:left w:type="dxa" w:w="120"/>
              <w:bottom w:type="dxa" w:w="80"/>
              <w:right w:type="dxa" w:w="120"/>
            </w:tcMar>
          </w:tcPr>
          <w:p>
            <w:r>
              <w:rPr>
                <w:sz w:val="20"/>
                <w:szCs w:val="20"/>
              </w:rPr>
              <w:t xml:space="preserve">Siège</w:t>
            </w:r>
          </w:p>
        </w:tc>
        <w:tc>
          <w:tcPr>
            <w:tcMar>
              <w:top w:type="dxa" w:w="80"/>
              <w:left w:type="dxa" w:w="120"/>
              <w:bottom w:type="dxa" w:w="80"/>
              <w:right w:type="dxa" w:w="120"/>
            </w:tcMar>
          </w:tcPr>
          <w:p>
            <w:r>
              <w:rPr>
                <w:sz w:val="20"/>
                <w:szCs w:val="20"/>
              </w:rPr>
              <w:t xml:space="preserve">12 rue des Chantiers, 44300 Nantes</w:t>
            </w:r>
          </w:p>
        </w:tc>
      </w:tr>
      <w:tr>
        <w:tc>
          <w:tcPr>
            <w:tcMar>
              <w:top w:type="dxa" w:w="80"/>
              <w:left w:type="dxa" w:w="120"/>
              <w:bottom w:type="dxa" w:w="80"/>
              <w:right w:type="dxa" w:w="120"/>
            </w:tcMar>
          </w:tcPr>
          <w:p>
            <w:r>
              <w:rPr>
                <w:sz w:val="20"/>
                <w:szCs w:val="20"/>
              </w:rPr>
              <w:t xml:space="preserve">Contact</w:t>
            </w:r>
          </w:p>
        </w:tc>
        <w:tc>
          <w:tcPr>
            <w:tcMar>
              <w:top w:type="dxa" w:w="80"/>
              <w:left w:type="dxa" w:w="120"/>
              <w:bottom w:type="dxa" w:w="80"/>
              <w:right w:type="dxa" w:w="120"/>
            </w:tcMar>
          </w:tcPr>
          <w:p>
            <w:r>
              <w:rPr>
                <w:sz w:val="20"/>
                <w:szCs w:val="20"/>
              </w:rPr>
              <w:t xml:space="preserve">02 40 12 34 56 — contact@peinture-morel.fr — www.peinture-morel.fr</w:t>
            </w:r>
          </w:p>
        </w:tc>
      </w:tr>
      <w:tr>
        <w:tc>
          <w:tcPr>
            <w:tcMar>
              <w:top w:type="dxa" w:w="80"/>
              <w:left w:type="dxa" w:w="120"/>
              <w:bottom w:type="dxa" w:w="80"/>
              <w:right w:type="dxa" w:w="120"/>
            </w:tcMar>
          </w:tcPr>
          <w:p>
            <w:r>
              <w:rPr>
                <w:sz w:val="20"/>
                <w:szCs w:val="20"/>
              </w:rPr>
              <w:t xml:space="preserve">Assurance RC professionnelle</w:t>
            </w:r>
          </w:p>
        </w:tc>
        <w:tc>
          <w:tcPr>
            <w:tcMar>
              <w:top w:type="dxa" w:w="80"/>
              <w:left w:type="dxa" w:w="120"/>
              <w:bottom w:type="dxa" w:w="80"/>
              <w:right w:type="dxa" w:w="120"/>
            </w:tcMar>
          </w:tcPr>
          <w:p>
            <w:r>
              <w:rPr>
                <w:sz w:val="20"/>
                <w:szCs w:val="20"/>
              </w:rPr>
              <w:t xml:space="preserve">MAAF Pro, contrat n° 78 452 391</w:t>
            </w:r>
          </w:p>
        </w:tc>
      </w:tr>
      <w:tr>
        <w:tc>
          <w:tcPr>
            <w:tcMar>
              <w:top w:type="dxa" w:w="80"/>
              <w:left w:type="dxa" w:w="120"/>
              <w:bottom w:type="dxa" w:w="80"/>
              <w:right w:type="dxa" w:w="120"/>
            </w:tcMar>
          </w:tcPr>
          <w:p>
            <w:r>
              <w:rPr>
                <w:sz w:val="20"/>
                <w:szCs w:val="20"/>
              </w:rPr>
              <w:t xml:space="preserve">Assurance décennale</w:t>
            </w:r>
          </w:p>
        </w:tc>
        <w:tc>
          <w:tcPr>
            <w:tcMar>
              <w:top w:type="dxa" w:w="80"/>
              <w:left w:type="dxa" w:w="120"/>
              <w:bottom w:type="dxa" w:w="80"/>
              <w:right w:type="dxa" w:w="120"/>
            </w:tcMar>
          </w:tcPr>
          <w:p>
            <w:r>
              <w:rPr>
                <w:sz w:val="20"/>
                <w:szCs w:val="20"/>
              </w:rPr>
              <w:t xml:space="preserve">MAAF Pro, contrat n° 78 452 392</w:t>
            </w:r>
          </w:p>
        </w:tc>
      </w:tr>
      <w:tr>
        <w:tc>
          <w:tcPr>
            <w:tcMar>
              <w:top w:type="dxa" w:w="80"/>
              <w:left w:type="dxa" w:w="120"/>
              <w:bottom w:type="dxa" w:w="80"/>
              <w:right w:type="dxa" w:w="120"/>
            </w:tcMar>
          </w:tcPr>
          <w:p>
            <w:r>
              <w:rPr>
                <w:sz w:val="20"/>
                <w:szCs w:val="20"/>
              </w:rPr>
              <w:t xml:space="preserve">Certifications &amp; qualifications</w:t>
            </w:r>
          </w:p>
        </w:tc>
        <w:tc>
          <w:tcPr>
            <w:tcMar>
              <w:top w:type="dxa" w:w="80"/>
              <w:left w:type="dxa" w:w="120"/>
              <w:bottom w:type="dxa" w:w="80"/>
              <w:right w:type="dxa" w:w="120"/>
            </w:tcMar>
          </w:tcPr>
          <w:p>
            <w:r>
              <w:rPr>
                <w:sz w:val="20"/>
                <w:szCs w:val="20"/>
              </w:rPr>
              <w:t xml:space="preserve">Qualibat 6111 (peinture), label RGE</w:t>
            </w:r>
          </w:p>
        </w:tc>
      </w:tr>
    </w:tbl>
    <w:p>
      <w:pPr>
        <w:pStyle w:val="Heading1"/>
        <w:spacing w:after="160" w:before="400"/>
      </w:pPr>
      <w:r>
        <w:rPr>
          <w:b/>
          <w:bCs/>
          <w:color w:val="E8630A"/>
          <w:sz w:val="30"/>
          <w:szCs w:val="30"/>
        </w:rPr>
        <w:t xml:space="preserve">2. </w:t>
      </w:r>
      <w:r>
        <w:rPr>
          <w:b/>
          <w:bCs/>
          <w:color w:val="12365A"/>
          <w:sz w:val="30"/>
          <w:szCs w:val="30"/>
        </w:rPr>
        <w:t xml:space="preserve">Compréhension du besoin et contexte de l'opération</w:t>
      </w:r>
    </w:p>
    <w:p>
      <w:pPr>
        <w:spacing w:after="120"/>
        <w:jc w:val="both"/>
      </w:pPr>
      <w:r>
        <w:rPr>
          <w:sz w:val="22"/>
          <w:szCs w:val="22"/>
        </w:rPr>
        <w:t xml:space="preserve">Le présent marché, passé par Commune de Vertou, porte sur : Travaux de remise en peinture de l'école élémentaire des Treilles — lot 4 : peinture intérieure. Les travaux seront réalisés à École élémentaire des Treilles, Vertou (44120), pour une durée ou un délai d'exécution de 6 semaines pendant les vacances scolaires d'été 2026.</w:t>
      </w:r>
    </w:p>
    <w:p>
      <w:pPr>
        <w:spacing w:after="120"/>
        <w:jc w:val="both"/>
      </w:pPr>
      <w:r>
        <w:rPr>
          <w:sz w:val="22"/>
          <w:szCs w:val="22"/>
        </w:rPr>
        <w:t xml:space="preserve">Nous avons étudié l'ensemble des pièces de la consultation. Notre offre technique répond point par point aux exigences du cahier des charges, avec une attention particulière portée aux spécificités de l'opération décrites ci-dessous.</w:t>
      </w:r>
    </w:p>
    <w:p>
      <w:pPr>
        <w:pStyle w:val="Heading2"/>
        <w:spacing w:after="100" w:before="240"/>
      </w:pPr>
      <w:r>
        <w:rPr>
          <w:b/>
          <w:bCs/>
          <w:color w:val="12365A"/>
          <w:sz w:val="24"/>
          <w:szCs w:val="24"/>
        </w:rPr>
        <w:t xml:space="preserve">Contraintes identifiées et réponses apportées</w:t>
      </w:r>
    </w:p>
    <w:p>
      <w:pPr>
        <w:spacing w:after="120"/>
        <w:jc w:val="both"/>
      </w:pPr>
      <w:r>
        <w:rPr>
          <w:sz w:val="22"/>
          <w:szCs w:val="22"/>
        </w:rPr>
        <w:t xml:space="preserve">Contraintes signalées par la consultation : Travaux en site scolaire inoccupé mais mitoyen d'un centre de loisirs ouvert ; peintures à faible émission de COV exigées (étiquette A+).</w:t>
      </w:r>
    </w:p>
    <w:p>
      <w:pPr>
        <w:spacing w:after="120"/>
        <w:jc w:val="both"/>
      </w:pPr>
      <w:r>
        <w:rPr>
          <w:sz w:val="22"/>
          <w:szCs w:val="22"/>
        </w:rPr>
        <w:t xml:space="preserve">Notre organisation intègre ces contraintes dès la préparation : elles sont reprises dans la méthodologie (section 5), le planning (section 6) et le volet sécurité (section 7) du présent mémoire.</w:t>
      </w:r>
    </w:p>
    <w:p>
      <w:pPr>
        <w:pStyle w:val="Heading2"/>
        <w:spacing w:after="100" w:before="240"/>
      </w:pPr>
      <w:r>
        <w:rPr>
          <w:b/>
          <w:bCs/>
          <w:color w:val="12365A"/>
          <w:sz w:val="24"/>
          <w:szCs w:val="24"/>
        </w:rPr>
        <w:t xml:space="preserve">Intervention en site occupé ou sensible</w:t>
      </w:r>
    </w:p>
    <w:p>
      <w:pPr>
        <w:spacing w:after="120"/>
        <w:jc w:val="both"/>
      </w:pPr>
      <w:r>
        <w:rPr>
          <w:sz w:val="22"/>
          <w:szCs w:val="22"/>
        </w:rPr>
        <w:t xml:space="preserve">Le site restant partiellement occupé ou à proximité immédiate d'usagers, nous mettons en place : un balisage physique permanent des zones d'intervention, des horaires adaptés validés avec l'acheteur, le maintien des cheminements et issues de secours, la propreté quotidienne des zones partagées et une information affichée des phases de travaux. Le personnel est sensibilisé au respect des usagers (discrétion, politesse, tenue identifiée Peinture Morel).</w:t>
      </w:r>
    </w:p>
    <w:p>
      <w:pPr>
        <w:pStyle w:val="Heading2"/>
        <w:spacing w:after="100" w:before="240"/>
      </w:pPr>
      <w:r>
        <w:rPr>
          <w:b/>
          <w:bCs/>
          <w:color w:val="12365A"/>
          <w:sz w:val="24"/>
          <w:szCs w:val="24"/>
        </w:rPr>
        <w:t xml:space="preserve">Exigences particulières du règlement de consultation</w:t>
      </w:r>
    </w:p>
    <w:p>
      <w:pPr>
        <w:spacing w:after="120"/>
        <w:jc w:val="both"/>
      </w:pPr>
      <w:r>
        <w:rPr>
          <w:sz w:val="22"/>
          <w:szCs w:val="22"/>
        </w:rPr>
        <w:t xml:space="preserve">Mémoire technique demandé au règlement de consultation : valeur technique 60 %, prix 40 %.</w:t>
      </w:r>
    </w:p>
    <w:p>
      <w:pPr>
        <w:pStyle w:val="Heading2"/>
        <w:spacing w:after="100" w:before="240"/>
      </w:pPr>
      <w:r>
        <w:rPr>
          <w:b/>
          <w:bCs/>
          <w:color w:val="12365A"/>
          <w:sz w:val="24"/>
          <w:szCs w:val="24"/>
        </w:rPr>
        <w:t xml:space="preserve">Les atouts de Peinture Morel pour cette opération</w:t>
      </w:r>
    </w:p>
    <w:p>
      <w:pPr>
        <w:spacing w:after="120"/>
        <w:jc w:val="both"/>
      </w:pPr>
      <w:r>
        <w:rPr>
          <w:sz w:val="22"/>
          <w:szCs w:val="22"/>
        </w:rPr>
        <w:t xml:space="preserve">Nous avons réalisé deux chantiers comparables en site scolaire ces deux dernières années (Rezé et Nantes), toujours livrés dans les délais des vacances scolaires. Notre équipe travaille exclusivement avec des peintures A+ et l'entreprise est à 15 minutes du chantier.</w:t>
      </w:r>
    </w:p>
    <w:p>
      <w:pPr>
        <w:spacing w:after="120"/>
        <w:jc w:val="both"/>
      </w:pPr>
      <w:r>
        <w:rPr>
          <w:sz w:val="22"/>
          <w:szCs w:val="22"/>
        </w:rPr>
        <w:t xml:space="preserve">Ces éléments concrets sont développés dans les sections suivantes du présent mémoire (moyens, méthodologie, références).</w:t>
      </w:r>
    </w:p>
    <w:p>
      <w:pPr>
        <w:pStyle w:val="Heading1"/>
        <w:spacing w:after="160" w:before="400"/>
      </w:pPr>
      <w:r>
        <w:rPr>
          <w:b/>
          <w:bCs/>
          <w:color w:val="E8630A"/>
          <w:sz w:val="30"/>
          <w:szCs w:val="30"/>
        </w:rPr>
        <w:t xml:space="preserve">3. </w:t>
      </w:r>
      <w:r>
        <w:rPr>
          <w:b/>
          <w:bCs/>
          <w:color w:val="12365A"/>
          <w:sz w:val="30"/>
          <w:szCs w:val="30"/>
        </w:rPr>
        <w:t xml:space="preserve">Moyens humains affectés au chantier</w:t>
      </w:r>
    </w:p>
    <w:p>
      <w:pPr>
        <w:spacing w:after="120"/>
        <w:jc w:val="both"/>
      </w:pPr>
      <w:r>
        <w:rPr>
          <w:sz w:val="22"/>
          <w:szCs w:val="22"/>
        </w:rPr>
        <w:t xml:space="preserve">L'équipe affectée à ce chantier est dimensionnée pour tenir le délai de 6 semaines pendant les vacances scolaires d'été 2026 tout en garantissant la qualité d'exécution. Encadrement : Julien Morel, gérant — présent aux réunions de chantier et joignable en permanence.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shd w:fill="12365A"/>
            <w:tcMar>
              <w:top w:type="dxa" w:w="80"/>
              <w:left w:type="dxa" w:w="120"/>
              <w:bottom w:type="dxa" w:w="80"/>
              <w:right w:type="dxa" w:w="120"/>
            </w:tcMar>
          </w:tcPr>
          <w:p>
            <w:r>
              <w:rPr>
                <w:b/>
                <w:bCs/>
                <w:color w:val="FFFFFF"/>
                <w:sz w:val="20"/>
                <w:szCs w:val="20"/>
              </w:rPr>
              <w:t xml:space="preserve">Poste</w:t>
            </w:r>
          </w:p>
        </w:tc>
        <w:tc>
          <w:tcPr>
            <w:shd w:fill="12365A"/>
            <w:tcMar>
              <w:top w:type="dxa" w:w="80"/>
              <w:left w:type="dxa" w:w="120"/>
              <w:bottom w:type="dxa" w:w="80"/>
              <w:right w:type="dxa" w:w="120"/>
            </w:tcMar>
          </w:tcPr>
          <w:p>
            <w:r>
              <w:rPr>
                <w:b/>
                <w:bCs/>
                <w:color w:val="FFFFFF"/>
                <w:sz w:val="20"/>
                <w:szCs w:val="20"/>
              </w:rPr>
              <w:t xml:space="preserve">Nom</w:t>
            </w:r>
          </w:p>
        </w:tc>
        <w:tc>
          <w:tcPr>
            <w:shd w:fill="12365A"/>
            <w:tcMar>
              <w:top w:type="dxa" w:w="80"/>
              <w:left w:type="dxa" w:w="120"/>
              <w:bottom w:type="dxa" w:w="80"/>
              <w:right w:type="dxa" w:w="120"/>
            </w:tcMar>
          </w:tcPr>
          <w:p>
            <w:r>
              <w:rPr>
                <w:b/>
                <w:bCs/>
                <w:color w:val="FFFFFF"/>
                <w:sz w:val="20"/>
                <w:szCs w:val="20"/>
              </w:rPr>
              <w:t xml:space="preserve">Expérience</w:t>
            </w:r>
          </w:p>
        </w:tc>
        <w:tc>
          <w:tcPr>
            <w:shd w:fill="12365A"/>
            <w:tcMar>
              <w:top w:type="dxa" w:w="80"/>
              <w:left w:type="dxa" w:w="120"/>
              <w:bottom w:type="dxa" w:w="80"/>
              <w:right w:type="dxa" w:w="120"/>
            </w:tcMar>
          </w:tcPr>
          <w:p>
            <w:r>
              <w:rPr>
                <w:b/>
                <w:bCs/>
                <w:color w:val="FFFFFF"/>
                <w:sz w:val="20"/>
                <w:szCs w:val="20"/>
              </w:rPr>
              <w:t xml:space="preserve">Qualifications</w:t>
            </w:r>
          </w:p>
        </w:tc>
      </w:tr>
      <w:tr>
        <w:tc>
          <w:tcPr>
            <w:tcMar>
              <w:top w:type="dxa" w:w="80"/>
              <w:left w:type="dxa" w:w="120"/>
              <w:bottom w:type="dxa" w:w="80"/>
              <w:right w:type="dxa" w:w="120"/>
            </w:tcMar>
          </w:tcPr>
          <w:p>
            <w:r>
              <w:rPr>
                <w:sz w:val="20"/>
                <w:szCs w:val="20"/>
              </w:rPr>
              <w:t xml:space="preserve">Chef d'équipe peintre</w:t>
            </w:r>
          </w:p>
        </w:tc>
        <w:tc>
          <w:tcPr>
            <w:tcMar>
              <w:top w:type="dxa" w:w="80"/>
              <w:left w:type="dxa" w:w="120"/>
              <w:bottom w:type="dxa" w:w="80"/>
              <w:right w:type="dxa" w:w="120"/>
            </w:tcMar>
          </w:tcPr>
          <w:p>
            <w:r>
              <w:rPr>
                <w:sz w:val="20"/>
                <w:szCs w:val="20"/>
              </w:rPr>
              <w:t xml:space="preserve">Karim Belkacem</w:t>
            </w:r>
          </w:p>
        </w:tc>
        <w:tc>
          <w:tcPr>
            <w:tcMar>
              <w:top w:type="dxa" w:w="80"/>
              <w:left w:type="dxa" w:w="120"/>
              <w:bottom w:type="dxa" w:w="80"/>
              <w:right w:type="dxa" w:w="120"/>
            </w:tcMar>
          </w:tcPr>
          <w:p>
            <w:r>
              <w:rPr>
                <w:sz w:val="20"/>
                <w:szCs w:val="20"/>
              </w:rPr>
              <w:t xml:space="preserve">15 ans</w:t>
            </w:r>
          </w:p>
        </w:tc>
        <w:tc>
          <w:tcPr>
            <w:tcMar>
              <w:top w:type="dxa" w:w="80"/>
              <w:left w:type="dxa" w:w="120"/>
              <w:bottom w:type="dxa" w:w="80"/>
              <w:right w:type="dxa" w:w="120"/>
            </w:tcMar>
          </w:tcPr>
          <w:p>
            <w:r>
              <w:rPr>
                <w:sz w:val="20"/>
                <w:szCs w:val="20"/>
              </w:rPr>
              <w:t xml:space="preserve">CAP + BP peintre applicateur, CACES nacelle R486, habilitation travail en hauteur</w:t>
            </w:r>
          </w:p>
        </w:tc>
      </w:tr>
      <w:tr>
        <w:tc>
          <w:tcPr>
            <w:tcMar>
              <w:top w:type="dxa" w:w="80"/>
              <w:left w:type="dxa" w:w="120"/>
              <w:bottom w:type="dxa" w:w="80"/>
              <w:right w:type="dxa" w:w="120"/>
            </w:tcMar>
          </w:tcPr>
          <w:p>
            <w:r>
              <w:rPr>
                <w:sz w:val="20"/>
                <w:szCs w:val="20"/>
              </w:rPr>
              <w:t xml:space="preserve">Peintre qualifié</w:t>
            </w:r>
          </w:p>
        </w:tc>
        <w:tc>
          <w:tcPr>
            <w:tcMar>
              <w:top w:type="dxa" w:w="80"/>
              <w:left w:type="dxa" w:w="120"/>
              <w:bottom w:type="dxa" w:w="80"/>
              <w:right w:type="dxa" w:w="120"/>
            </w:tcMar>
          </w:tcPr>
          <w:p>
            <w:r>
              <w:rPr>
                <w:sz w:val="20"/>
                <w:szCs w:val="20"/>
              </w:rPr>
              <w:t xml:space="preserve">Lucie Traoré</w:t>
            </w:r>
          </w:p>
        </w:tc>
        <w:tc>
          <w:tcPr>
            <w:tcMar>
              <w:top w:type="dxa" w:w="80"/>
              <w:left w:type="dxa" w:w="120"/>
              <w:bottom w:type="dxa" w:w="80"/>
              <w:right w:type="dxa" w:w="120"/>
            </w:tcMar>
          </w:tcPr>
          <w:p>
            <w:r>
              <w:rPr>
                <w:sz w:val="20"/>
                <w:szCs w:val="20"/>
              </w:rPr>
              <w:t xml:space="preserve">8 ans</w:t>
            </w:r>
          </w:p>
        </w:tc>
        <w:tc>
          <w:tcPr>
            <w:tcMar>
              <w:top w:type="dxa" w:w="80"/>
              <w:left w:type="dxa" w:w="120"/>
              <w:bottom w:type="dxa" w:w="80"/>
              <w:right w:type="dxa" w:w="120"/>
            </w:tcMar>
          </w:tcPr>
          <w:p>
            <w:r>
              <w:rPr>
                <w:sz w:val="20"/>
                <w:szCs w:val="20"/>
              </w:rPr>
              <w:t xml:space="preserve">CAP peintre applicateur de revêtements</w:t>
            </w:r>
          </w:p>
        </w:tc>
      </w:tr>
      <w:tr>
        <w:tc>
          <w:tcPr>
            <w:tcMar>
              <w:top w:type="dxa" w:w="80"/>
              <w:left w:type="dxa" w:w="120"/>
              <w:bottom w:type="dxa" w:w="80"/>
              <w:right w:type="dxa" w:w="120"/>
            </w:tcMar>
          </w:tcPr>
          <w:p>
            <w:r>
              <w:rPr>
                <w:sz w:val="20"/>
                <w:szCs w:val="20"/>
              </w:rPr>
              <w:t xml:space="preserve">Peintre</w:t>
            </w:r>
          </w:p>
        </w:tc>
        <w:tc>
          <w:tcPr>
            <w:tcMar>
              <w:top w:type="dxa" w:w="80"/>
              <w:left w:type="dxa" w:w="120"/>
              <w:bottom w:type="dxa" w:w="80"/>
              <w:right w:type="dxa" w:w="120"/>
            </w:tcMar>
          </w:tcPr>
          <w:p>
            <w:r>
              <w:rPr>
                <w:sz w:val="20"/>
                <w:szCs w:val="20"/>
              </w:rPr>
              <w:t xml:space="preserve">Hugo Renard</w:t>
            </w:r>
          </w:p>
        </w:tc>
        <w:tc>
          <w:tcPr>
            <w:tcMar>
              <w:top w:type="dxa" w:w="80"/>
              <w:left w:type="dxa" w:w="120"/>
              <w:bottom w:type="dxa" w:w="80"/>
              <w:right w:type="dxa" w:w="120"/>
            </w:tcMar>
          </w:tcPr>
          <w:p>
            <w:r>
              <w:rPr>
                <w:sz w:val="20"/>
                <w:szCs w:val="20"/>
              </w:rPr>
              <w:t xml:space="preserve">3 ans</w:t>
            </w:r>
          </w:p>
        </w:tc>
        <w:tc>
          <w:tcPr>
            <w:tcMar>
              <w:top w:type="dxa" w:w="80"/>
              <w:left w:type="dxa" w:w="120"/>
              <w:bottom w:type="dxa" w:w="80"/>
              <w:right w:type="dxa" w:w="120"/>
            </w:tcMar>
          </w:tcPr>
          <w:p>
            <w:r>
              <w:rPr>
                <w:sz w:val="20"/>
                <w:szCs w:val="20"/>
              </w:rPr>
              <w:t xml:space="preserve">CAP peintre, SST</w:t>
            </w:r>
          </w:p>
        </w:tc>
      </w:tr>
    </w:tbl>
    <w:p>
      <w:pPr>
        <w:spacing w:after="120"/>
        <w:jc w:val="both"/>
      </w:pPr>
      <w:r>
        <w:rPr>
          <w:sz w:val="22"/>
          <w:szCs w:val="22"/>
        </w:rPr>
        <w:t xml:space="preserve">En cas d'absence, la continuité est assurée par du personnel de l'entreprise présentant des qualifications équivalentes ; l'acheteur en est informé sans délai. L'entreprise réalise l'intégralité des prestations avec ses moyens propres, sans sous-traitance.</w:t>
      </w:r>
    </w:p>
    <w:p>
      <w:pPr>
        <w:pStyle w:val="Heading1"/>
        <w:spacing w:after="160" w:before="400"/>
      </w:pPr>
      <w:r>
        <w:rPr>
          <w:b/>
          <w:bCs/>
          <w:color w:val="E8630A"/>
          <w:sz w:val="30"/>
          <w:szCs w:val="30"/>
        </w:rPr>
        <w:t xml:space="preserve">4. </w:t>
      </w:r>
      <w:r>
        <w:rPr>
          <w:b/>
          <w:bCs/>
          <w:color w:val="12365A"/>
          <w:sz w:val="30"/>
          <w:szCs w:val="30"/>
        </w:rPr>
        <w:t xml:space="preserve">Moyens matériels et fournitures</w:t>
      </w:r>
    </w:p>
    <w:p>
      <w:pPr>
        <w:spacing w:after="120"/>
        <w:jc w:val="both"/>
      </w:pPr>
      <w:r>
        <w:rPr>
          <w:sz w:val="22"/>
          <w:szCs w:val="22"/>
        </w:rPr>
        <w:t xml:space="preserve">Principaux matériels et équipements mobilisés pour l'opération :</w:t>
      </w:r>
    </w:p>
    <w:p>
      <w:pPr>
        <w:pStyle w:val="ListParagraph"/>
        <w:numPr>
          <w:ilvl w:val="0"/>
          <w:numId w:val="1"/>
        </w:numPr>
        <w:spacing w:after="60"/>
      </w:pPr>
      <w:r>
        <w:rPr>
          <w:sz w:val="22"/>
          <w:szCs w:val="22"/>
        </w:rPr>
        <w:t xml:space="preserve">Stations airless Graco</w:t>
      </w:r>
    </w:p>
    <w:p>
      <w:pPr>
        <w:pStyle w:val="ListParagraph"/>
        <w:numPr>
          <w:ilvl w:val="0"/>
          <w:numId w:val="1"/>
        </w:numPr>
        <w:spacing w:after="60"/>
      </w:pPr>
      <w:r>
        <w:rPr>
          <w:sz w:val="22"/>
          <w:szCs w:val="22"/>
        </w:rPr>
        <w:t xml:space="preserve">échafaudages roulants aluminium (2)</w:t>
      </w:r>
    </w:p>
    <w:p>
      <w:pPr>
        <w:pStyle w:val="ListParagraph"/>
        <w:numPr>
          <w:ilvl w:val="0"/>
          <w:numId w:val="1"/>
        </w:numPr>
        <w:spacing w:after="60"/>
      </w:pPr>
      <w:r>
        <w:rPr>
          <w:sz w:val="22"/>
          <w:szCs w:val="22"/>
        </w:rPr>
        <w:t xml:space="preserve">ponceuses-girafes avec aspiration</w:t>
      </w:r>
    </w:p>
    <w:p>
      <w:pPr>
        <w:pStyle w:val="ListParagraph"/>
        <w:numPr>
          <w:ilvl w:val="0"/>
          <w:numId w:val="1"/>
        </w:numPr>
        <w:spacing w:after="60"/>
      </w:pPr>
      <w:r>
        <w:rPr>
          <w:sz w:val="22"/>
          <w:szCs w:val="22"/>
        </w:rPr>
        <w:t xml:space="preserve">nettoyeur haute pression</w:t>
      </w:r>
    </w:p>
    <w:p>
      <w:pPr>
        <w:pStyle w:val="ListParagraph"/>
        <w:numPr>
          <w:ilvl w:val="0"/>
          <w:numId w:val="1"/>
        </w:numPr>
        <w:spacing w:after="60"/>
      </w:pPr>
      <w:r>
        <w:rPr>
          <w:sz w:val="22"/>
          <w:szCs w:val="22"/>
        </w:rPr>
        <w:t xml:space="preserve">matériel de préparation des supports</w:t>
      </w:r>
    </w:p>
    <w:p>
      <w:pPr>
        <w:pStyle w:val="ListParagraph"/>
        <w:numPr>
          <w:ilvl w:val="0"/>
          <w:numId w:val="1"/>
        </w:numPr>
        <w:spacing w:after="60"/>
      </w:pPr>
      <w:r>
        <w:rPr>
          <w:sz w:val="22"/>
          <w:szCs w:val="22"/>
        </w:rPr>
        <w:t xml:space="preserve">bâches et protections</w:t>
      </w:r>
    </w:p>
    <w:p>
      <w:pPr>
        <w:spacing w:after="120"/>
        <w:jc w:val="both"/>
      </w:pPr>
      <w:r>
        <w:rPr>
          <w:sz w:val="22"/>
          <w:szCs w:val="22"/>
        </w:rPr>
        <w:t xml:space="preserve">Véhicules : 2 fourgons Renault Trafic équipés en ateliers mobiles</w:t>
      </w:r>
    </w:p>
    <w:p>
      <w:pPr>
        <w:spacing w:after="120"/>
        <w:jc w:val="both"/>
      </w:pPr>
      <w:r>
        <w:rPr>
          <w:sz w:val="22"/>
          <w:szCs w:val="22"/>
        </w:rPr>
        <w:t xml:space="preserve">L'ensemble du matériel est entretenu et vérifié conformément à la réglementation (vérifications générales périodiques pour les équipements concernés). Les fournitures mises en œuvre sont conformes aux prescriptions du CCTP ; les fiches techniques et fiches de données de sécurité sont soumises au visa du maître d'œuvre avant approvisionnement.</w:t>
      </w:r>
    </w:p>
    <w:p>
      <w:pPr>
        <w:pStyle w:val="Heading1"/>
        <w:spacing w:after="160" w:before="400"/>
      </w:pPr>
      <w:r>
        <w:rPr>
          <w:b/>
          <w:bCs/>
          <w:color w:val="E8630A"/>
          <w:sz w:val="30"/>
          <w:szCs w:val="30"/>
        </w:rPr>
        <w:t xml:space="preserve">5. </w:t>
      </w:r>
      <w:r>
        <w:rPr>
          <w:b/>
          <w:bCs/>
          <w:color w:val="12365A"/>
          <w:sz w:val="30"/>
          <w:szCs w:val="30"/>
        </w:rPr>
        <w:t xml:space="preserve">Méthodologie et organisation du chantier</w:t>
      </w:r>
    </w:p>
    <w:p>
      <w:pPr>
        <w:spacing w:after="120"/>
        <w:jc w:val="both"/>
      </w:pPr>
      <w:r>
        <w:rPr>
          <w:sz w:val="22"/>
          <w:szCs w:val="22"/>
        </w:rPr>
        <w:t xml:space="preserve">Notre méthodologie d'exécution, éprouvée sur des opérations comparables (voir section 9), se déroule en 5 phases :</w:t>
      </w:r>
    </w:p>
    <w:p>
      <w:pPr>
        <w:pStyle w:val="Heading2"/>
        <w:spacing w:after="100" w:before="240"/>
      </w:pPr>
      <w:r>
        <w:rPr>
          <w:b/>
          <w:bCs/>
          <w:color w:val="12365A"/>
          <w:sz w:val="24"/>
          <w:szCs w:val="24"/>
        </w:rPr>
        <w:t xml:space="preserve">Phase 1 — Reconnaissance et protection des lieux</w:t>
      </w:r>
    </w:p>
    <w:p>
      <w:pPr>
        <w:spacing w:after="120"/>
        <w:jc w:val="both"/>
      </w:pPr>
      <w:r>
        <w:rPr>
          <w:sz w:val="22"/>
          <w:szCs w:val="22"/>
        </w:rPr>
        <w:t xml:space="preserve">État des lieux contradictoire avec le maître d'œuvre, repérage des supports et des points singuliers, protection intégrale des sols, menuiseries, mobiliers et équipements par bâches et films polyane, balisage des zones d'intervention.</w:t>
      </w:r>
    </w:p>
    <w:p>
      <w:pPr>
        <w:pStyle w:val="Heading2"/>
        <w:spacing w:after="100" w:before="240"/>
      </w:pPr>
      <w:r>
        <w:rPr>
          <w:b/>
          <w:bCs/>
          <w:color w:val="12365A"/>
          <w:sz w:val="24"/>
          <w:szCs w:val="24"/>
        </w:rPr>
        <w:t xml:space="preserve">Phase 2 — Préparation des supports</w:t>
      </w:r>
    </w:p>
    <w:p>
      <w:pPr>
        <w:spacing w:after="120"/>
        <w:jc w:val="both"/>
      </w:pPr>
      <w:r>
        <w:rPr>
          <w:sz w:val="22"/>
          <w:szCs w:val="22"/>
        </w:rPr>
        <w:t xml:space="preserve">Lessivage ou égrenage selon l'état, rebouchage des fissures et trous à l'enduit adapté, ponçage avec captage des poussières (ponceuses raccordées à aspiration), application des impressions et sous-couches appropriées à la nature de chaque support (plâtre, plaque de plâtre, bois, métal).</w:t>
      </w:r>
    </w:p>
    <w:p>
      <w:pPr>
        <w:pStyle w:val="Heading2"/>
        <w:spacing w:after="100" w:before="240"/>
      </w:pPr>
      <w:r>
        <w:rPr>
          <w:b/>
          <w:bCs/>
          <w:color w:val="12365A"/>
          <w:sz w:val="24"/>
          <w:szCs w:val="24"/>
        </w:rPr>
        <w:t xml:space="preserve">Phase 3 — Application des finitions</w:t>
      </w:r>
    </w:p>
    <w:p>
      <w:pPr>
        <w:spacing w:after="120"/>
        <w:jc w:val="both"/>
      </w:pPr>
      <w:r>
        <w:rPr>
          <w:sz w:val="22"/>
          <w:szCs w:val="22"/>
        </w:rPr>
        <w:t xml:space="preserve">Application des produits de finition en deux couches minimum, conformément aux fiches techniques des fabricants et au DTU 59.1 : respect des temps de séchage, des conditions de température et d'hygrométrie, tendu régulier et raccords soignés.</w:t>
      </w:r>
    </w:p>
    <w:p>
      <w:pPr>
        <w:pStyle w:val="Heading2"/>
        <w:spacing w:after="100" w:before="240"/>
      </w:pPr>
      <w:r>
        <w:rPr>
          <w:b/>
          <w:bCs/>
          <w:color w:val="12365A"/>
          <w:sz w:val="24"/>
          <w:szCs w:val="24"/>
        </w:rPr>
        <w:t xml:space="preserve">Phase 4 — Contrôles et finitions de détail</w:t>
      </w:r>
    </w:p>
    <w:p>
      <w:pPr>
        <w:spacing w:after="120"/>
        <w:jc w:val="both"/>
      </w:pPr>
      <w:r>
        <w:rPr>
          <w:sz w:val="22"/>
          <w:szCs w:val="22"/>
        </w:rPr>
        <w:t xml:space="preserve">Contrôle visuel de chaque pièce en fin d'application (opacité, tendu, arêtes, rechampis), reprises immédiates des défauts constatés, nettoyage des projections éventuelles.</w:t>
      </w:r>
    </w:p>
    <w:p>
      <w:pPr>
        <w:pStyle w:val="Heading2"/>
        <w:spacing w:after="100" w:before="240"/>
      </w:pPr>
      <w:r>
        <w:rPr>
          <w:b/>
          <w:bCs/>
          <w:color w:val="12365A"/>
          <w:sz w:val="24"/>
          <w:szCs w:val="24"/>
        </w:rPr>
        <w:t xml:space="preserve">Phase 5 — Repli et livraison</w:t>
      </w:r>
    </w:p>
    <w:p>
      <w:pPr>
        <w:spacing w:after="120"/>
        <w:jc w:val="both"/>
      </w:pPr>
      <w:r>
        <w:rPr>
          <w:sz w:val="22"/>
          <w:szCs w:val="22"/>
        </w:rPr>
        <w:t xml:space="preserve">Dépose des protections, nettoyage complet des zones de travail, évacuation et tri des déchets, visite de pré-réception avec le maître d'œuvre, levée des éventuelles réserves avant réception.</w:t>
      </w:r>
    </w:p>
    <w:p>
      <w:pPr>
        <w:pStyle w:val="Heading2"/>
        <w:spacing w:after="100" w:before="240"/>
      </w:pPr>
      <w:r>
        <w:rPr>
          <w:b/>
          <w:bCs/>
          <w:color w:val="12365A"/>
          <w:sz w:val="24"/>
          <w:szCs w:val="24"/>
        </w:rPr>
        <w:t xml:space="preserve">Contrôles qualité en cours d'exécution</w:t>
      </w:r>
    </w:p>
    <w:p>
      <w:pPr>
        <w:pStyle w:val="ListParagraph"/>
        <w:numPr>
          <w:ilvl w:val="0"/>
          <w:numId w:val="1"/>
        </w:numPr>
        <w:spacing w:after="60"/>
      </w:pPr>
      <w:r>
        <w:rPr>
          <w:sz w:val="22"/>
          <w:szCs w:val="22"/>
        </w:rPr>
        <w:t xml:space="preserve">Vérification de la conformité des produits livrés (teintes, références, étiquetage sanitaire) avant toute application</w:t>
      </w:r>
    </w:p>
    <w:p>
      <w:pPr>
        <w:pStyle w:val="ListParagraph"/>
        <w:numPr>
          <w:ilvl w:val="0"/>
          <w:numId w:val="1"/>
        </w:numPr>
        <w:spacing w:after="60"/>
      </w:pPr>
      <w:r>
        <w:rPr>
          <w:sz w:val="22"/>
          <w:szCs w:val="22"/>
        </w:rPr>
        <w:t xml:space="preserve">Fiche de contrôle par local : préparation, sous-couche, couches de finition, validée par le chef d'équipe</w:t>
      </w:r>
    </w:p>
    <w:p>
      <w:pPr>
        <w:pStyle w:val="ListParagraph"/>
        <w:numPr>
          <w:ilvl w:val="0"/>
          <w:numId w:val="1"/>
        </w:numPr>
        <w:spacing w:after="60"/>
      </w:pPr>
      <w:r>
        <w:rPr>
          <w:sz w:val="22"/>
          <w:szCs w:val="22"/>
        </w:rPr>
        <w:t xml:space="preserve">Contrôle du tendu et de l'opacité en lumière rasante avant de déclarer un local terminé</w:t>
      </w:r>
    </w:p>
    <w:p>
      <w:pPr>
        <w:pStyle w:val="ListParagraph"/>
        <w:numPr>
          <w:ilvl w:val="0"/>
          <w:numId w:val="1"/>
        </w:numPr>
        <w:spacing w:after="60"/>
      </w:pPr>
      <w:r>
        <w:rPr>
          <w:sz w:val="22"/>
          <w:szCs w:val="22"/>
        </w:rPr>
        <w:t xml:space="preserve">Traçabilité des fiches techniques et fiches de données de sécurité (FDS) de tous les produits mis en œuvre</w:t>
      </w:r>
    </w:p>
    <w:p>
      <w:pPr>
        <w:pStyle w:val="Heading1"/>
        <w:spacing w:after="160" w:before="400"/>
      </w:pPr>
      <w:r>
        <w:rPr>
          <w:b/>
          <w:bCs/>
          <w:color w:val="E8630A"/>
          <w:sz w:val="30"/>
          <w:szCs w:val="30"/>
        </w:rPr>
        <w:t xml:space="preserve">6. </w:t>
      </w:r>
      <w:r>
        <w:rPr>
          <w:b/>
          <w:bCs/>
          <w:color w:val="12365A"/>
          <w:sz w:val="30"/>
          <w:szCs w:val="30"/>
        </w:rPr>
        <w:t xml:space="preserve">Planning prévisionnel et respect des délais</w:t>
      </w:r>
    </w:p>
    <w:p>
      <w:pPr>
        <w:spacing w:after="120"/>
        <w:jc w:val="both"/>
      </w:pPr>
      <w:r>
        <w:rPr>
          <w:sz w:val="22"/>
          <w:szCs w:val="22"/>
        </w:rPr>
        <w:t xml:space="preserve">Délai d'exécution : 6 semaines pendant les vacances scolaires d'été 2026. Un calendrier d'exécution détaillé, décomposé selon les phases décrites en section 5, sera remis au maître d'œuvre lors de la période de préparation et mis à jour à chaque réunion de chantier.</w:t>
      </w:r>
    </w:p>
    <w:p>
      <w:pPr>
        <w:spacing w:after="120"/>
        <w:jc w:val="both"/>
      </w:pPr>
      <w:r>
        <w:rPr>
          <w:sz w:val="22"/>
          <w:szCs w:val="22"/>
        </w:rPr>
        <w:t xml:space="preserve">Pour garantir le respect du délai : anticipation des approvisionnements dès la notification, validation des choix techniques en période de préparation, équipe dimensionnée avec capacité de renfort ponctuel par le personnel de l'entreprise, points d'avancement hebdomadaires avec identification immédiate des points de blocage. Nous avons noté la date limite de remise des offres du 24/07/2026 à 12h00 et confirmons notre capacité à démarrer conformément au calendrier de l'acheteur.</w:t>
      </w:r>
    </w:p>
    <w:p>
      <w:pPr>
        <w:pStyle w:val="Heading1"/>
        <w:spacing w:after="160" w:before="400"/>
      </w:pPr>
      <w:r>
        <w:rPr>
          <w:b/>
          <w:bCs/>
          <w:color w:val="E8630A"/>
          <w:sz w:val="30"/>
          <w:szCs w:val="30"/>
        </w:rPr>
        <w:t xml:space="preserve">7. </w:t>
      </w:r>
      <w:r>
        <w:rPr>
          <w:b/>
          <w:bCs/>
          <w:color w:val="12365A"/>
          <w:sz w:val="30"/>
          <w:szCs w:val="30"/>
        </w:rPr>
        <w:t xml:space="preserve">Hygiène, sécurité et prévention</w:t>
      </w:r>
    </w:p>
    <w:p>
      <w:pPr>
        <w:spacing w:after="120"/>
        <w:jc w:val="both"/>
      </w:pPr>
      <w:r>
        <w:rPr>
          <w:sz w:val="22"/>
          <w:szCs w:val="22"/>
        </w:rPr>
        <w:t xml:space="preserve">La prévention des risques est intégrée à la préparation du chantier. Un plan particulier de sécurité et de protection de la santé (PPSPS) ou un plan de prévention sera établi si l'opération le requiert. Principaux risques identifiés pour ce type de travaux et mesures associées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shd w:fill="12365A"/>
            <w:tcMar>
              <w:top w:type="dxa" w:w="80"/>
              <w:left w:type="dxa" w:w="120"/>
              <w:bottom w:type="dxa" w:w="80"/>
              <w:right w:type="dxa" w:w="120"/>
            </w:tcMar>
          </w:tcPr>
          <w:p>
            <w:r>
              <w:rPr>
                <w:b/>
                <w:bCs/>
                <w:color w:val="FFFFFF"/>
                <w:sz w:val="20"/>
                <w:szCs w:val="20"/>
              </w:rPr>
              <w:t xml:space="preserve">Risque identifié</w:t>
            </w:r>
          </w:p>
        </w:tc>
        <w:tc>
          <w:tcPr>
            <w:shd w:fill="12365A"/>
            <w:tcMar>
              <w:top w:type="dxa" w:w="80"/>
              <w:left w:type="dxa" w:w="120"/>
              <w:bottom w:type="dxa" w:w="80"/>
              <w:right w:type="dxa" w:w="120"/>
            </w:tcMar>
          </w:tcPr>
          <w:p>
            <w:r>
              <w:rPr>
                <w:b/>
                <w:bCs/>
                <w:color w:val="FFFFFF"/>
                <w:sz w:val="20"/>
                <w:szCs w:val="20"/>
              </w:rPr>
              <w:t xml:space="preserve">Mesures de prévention</w:t>
            </w:r>
          </w:p>
        </w:tc>
      </w:tr>
      <w:tr>
        <w:tc>
          <w:tcPr>
            <w:tcMar>
              <w:top w:type="dxa" w:w="80"/>
              <w:left w:type="dxa" w:w="120"/>
              <w:bottom w:type="dxa" w:w="80"/>
              <w:right w:type="dxa" w:w="120"/>
            </w:tcMar>
          </w:tcPr>
          <w:p>
            <w:r>
              <w:rPr>
                <w:sz w:val="20"/>
                <w:szCs w:val="20"/>
              </w:rPr>
              <w:t xml:space="preserve">Travail en hauteur (échafaudages, escabeaux, nacelles)</w:t>
            </w:r>
          </w:p>
        </w:tc>
        <w:tc>
          <w:tcPr>
            <w:tcMar>
              <w:top w:type="dxa" w:w="80"/>
              <w:left w:type="dxa" w:w="120"/>
              <w:bottom w:type="dxa" w:w="80"/>
              <w:right w:type="dxa" w:w="120"/>
            </w:tcMar>
          </w:tcPr>
          <w:p>
            <w:r>
              <w:rPr>
                <w:sz w:val="20"/>
                <w:szCs w:val="20"/>
              </w:rPr>
              <w:t xml:space="preserve">Utilisation d'échafaudages roulants conformes NF EN 1004 montés par du personnel formé, vérification avant chaque poste, port du harnais lorsque requis, personnel titulaire des habilitations travail en hauteur et CACES nacelle le cas échéant.</w:t>
            </w:r>
          </w:p>
        </w:tc>
      </w:tr>
      <w:tr>
        <w:tc>
          <w:tcPr>
            <w:tcMar>
              <w:top w:type="dxa" w:w="80"/>
              <w:left w:type="dxa" w:w="120"/>
              <w:bottom w:type="dxa" w:w="80"/>
              <w:right w:type="dxa" w:w="120"/>
            </w:tcMar>
          </w:tcPr>
          <w:p>
            <w:r>
              <w:rPr>
                <w:sz w:val="20"/>
                <w:szCs w:val="20"/>
              </w:rPr>
              <w:t xml:space="preserve">Exposition aux poussières de ponçage</w:t>
            </w:r>
          </w:p>
        </w:tc>
        <w:tc>
          <w:tcPr>
            <w:tcMar>
              <w:top w:type="dxa" w:w="80"/>
              <w:left w:type="dxa" w:w="120"/>
              <w:bottom w:type="dxa" w:w="80"/>
              <w:right w:type="dxa" w:w="120"/>
            </w:tcMar>
          </w:tcPr>
          <w:p>
            <w:r>
              <w:rPr>
                <w:sz w:val="20"/>
                <w:szCs w:val="20"/>
              </w:rPr>
              <w:t xml:space="preserve">Ponçage systématiquement raccordé à des aspirateurs à filtration adaptée, port de masques FFP2/FFP3 selon les phases, aération des locaux.</w:t>
            </w:r>
          </w:p>
        </w:tc>
      </w:tr>
      <w:tr>
        <w:tc>
          <w:tcPr>
            <w:tcMar>
              <w:top w:type="dxa" w:w="80"/>
              <w:left w:type="dxa" w:w="120"/>
              <w:bottom w:type="dxa" w:w="80"/>
              <w:right w:type="dxa" w:w="120"/>
            </w:tcMar>
          </w:tcPr>
          <w:p>
            <w:r>
              <w:rPr>
                <w:sz w:val="20"/>
                <w:szCs w:val="20"/>
              </w:rPr>
              <w:t xml:space="preserve">Exposition aux solvants et produits chimiques</w:t>
            </w:r>
          </w:p>
        </w:tc>
        <w:tc>
          <w:tcPr>
            <w:tcMar>
              <w:top w:type="dxa" w:w="80"/>
              <w:left w:type="dxa" w:w="120"/>
              <w:bottom w:type="dxa" w:w="80"/>
              <w:right w:type="dxa" w:w="120"/>
            </w:tcMar>
          </w:tcPr>
          <w:p>
            <w:r>
              <w:rPr>
                <w:sz w:val="20"/>
                <w:szCs w:val="20"/>
              </w:rPr>
              <w:t xml:space="preserve">Privilégier les produits en phase aqueuse et à faible émission de COV (étiquette A+), respect des FDS, ventilation des locaux pendant et après application, port des EPI adaptés (gants nitrile, lunettes).</w:t>
            </w:r>
          </w:p>
        </w:tc>
      </w:tr>
      <w:tr>
        <w:tc>
          <w:tcPr>
            <w:tcMar>
              <w:top w:type="dxa" w:w="80"/>
              <w:left w:type="dxa" w:w="120"/>
              <w:bottom w:type="dxa" w:w="80"/>
              <w:right w:type="dxa" w:w="120"/>
            </w:tcMar>
          </w:tcPr>
          <w:p>
            <w:r>
              <w:rPr>
                <w:sz w:val="20"/>
                <w:szCs w:val="20"/>
              </w:rPr>
              <w:t xml:space="preserve">Coactivité avec d'autres corps d'état ou usagers du site</w:t>
            </w:r>
          </w:p>
        </w:tc>
        <w:tc>
          <w:tcPr>
            <w:tcMar>
              <w:top w:type="dxa" w:w="80"/>
              <w:left w:type="dxa" w:w="120"/>
              <w:bottom w:type="dxa" w:w="80"/>
              <w:right w:type="dxa" w:w="120"/>
            </w:tcMar>
          </w:tcPr>
          <w:p>
            <w:r>
              <w:rPr>
                <w:sz w:val="20"/>
                <w:szCs w:val="20"/>
              </w:rPr>
              <w:t xml:space="preserve">Participation aux réunions de coordination, balisage et signalétique des zones fraîchement peintes, planification des interventions pour limiter les interférences.</w:t>
            </w:r>
          </w:p>
        </w:tc>
      </w:tr>
    </w:tbl>
    <w:p>
      <w:pPr>
        <w:spacing w:after="120"/>
        <w:jc w:val="both"/>
      </w:pPr>
      <w:r>
        <w:rPr>
          <w:sz w:val="22"/>
          <w:szCs w:val="22"/>
        </w:rPr>
        <w:t xml:space="preserve">Le personnel dispose des équipements de protection individuelle adaptés et des formations requises. Les consignes sont rappelées lors de causeries sécurité en démarrage de chantier et à chaque phase nouvelle.</w:t>
      </w:r>
    </w:p>
    <w:p>
      <w:pPr>
        <w:pStyle w:val="Heading1"/>
        <w:spacing w:after="160" w:before="400"/>
      </w:pPr>
      <w:r>
        <w:rPr>
          <w:b/>
          <w:bCs/>
          <w:color w:val="E8630A"/>
          <w:sz w:val="30"/>
          <w:szCs w:val="30"/>
        </w:rPr>
        <w:t xml:space="preserve">8. </w:t>
      </w:r>
      <w:r>
        <w:rPr>
          <w:b/>
          <w:bCs/>
          <w:color w:val="12365A"/>
          <w:sz w:val="30"/>
          <w:szCs w:val="30"/>
        </w:rPr>
        <w:t xml:space="preserve">Qualité, environnement et gestion des déchets</w:t>
      </w:r>
    </w:p>
    <w:p>
      <w:pPr>
        <w:spacing w:after="120"/>
        <w:jc w:val="both"/>
      </w:pPr>
      <w:r>
        <w:rPr>
          <w:sz w:val="22"/>
          <w:szCs w:val="22"/>
        </w:rPr>
        <w:t xml:space="preserve">Engagements environnementaux et de gestion des déchets pour cette opération :</w:t>
      </w:r>
    </w:p>
    <w:p>
      <w:pPr>
        <w:pStyle w:val="ListParagraph"/>
        <w:numPr>
          <w:ilvl w:val="0"/>
          <w:numId w:val="1"/>
        </w:numPr>
        <w:spacing w:after="60"/>
      </w:pPr>
      <w:r>
        <w:rPr>
          <w:sz w:val="22"/>
          <w:szCs w:val="22"/>
        </w:rPr>
        <w:t xml:space="preserve">Emploi de peintures en phase aqueuse à faible teneur en COV (étiquetage A+) chaque fois que le CCTP le permet</w:t>
      </w:r>
    </w:p>
    <w:p>
      <w:pPr>
        <w:pStyle w:val="ListParagraph"/>
        <w:numPr>
          <w:ilvl w:val="0"/>
          <w:numId w:val="1"/>
        </w:numPr>
        <w:spacing w:after="60"/>
      </w:pPr>
      <w:r>
        <w:rPr>
          <w:sz w:val="22"/>
          <w:szCs w:val="22"/>
        </w:rPr>
        <w:t xml:space="preserve">Tri des déchets sur chantier : emballages souillés et fonds de pots collectés en filière déchets dangereux (bordereaux de suivi), cartons et plastiques recyclés</w:t>
      </w:r>
    </w:p>
    <w:p>
      <w:pPr>
        <w:pStyle w:val="ListParagraph"/>
        <w:numPr>
          <w:ilvl w:val="0"/>
          <w:numId w:val="1"/>
        </w:numPr>
        <w:spacing w:after="60"/>
      </w:pPr>
      <w:r>
        <w:rPr>
          <w:sz w:val="22"/>
          <w:szCs w:val="22"/>
        </w:rPr>
        <w:t xml:space="preserve">Nettoyage du matériel dans des bacs de décantation — aucun rejet dans les réseaux d'eaux pluviales ou usées</w:t>
      </w:r>
    </w:p>
    <w:p>
      <w:pPr>
        <w:pStyle w:val="ListParagraph"/>
        <w:numPr>
          <w:ilvl w:val="0"/>
          <w:numId w:val="1"/>
        </w:numPr>
        <w:spacing w:after="60"/>
      </w:pPr>
      <w:r>
        <w:rPr>
          <w:sz w:val="22"/>
          <w:szCs w:val="22"/>
        </w:rPr>
        <w:t xml:space="preserve">Optimisation des quantités commandées pour limiter les restes de produits</w:t>
      </w:r>
    </w:p>
    <w:p>
      <w:pPr>
        <w:pStyle w:val="Heading2"/>
        <w:spacing w:after="100" w:before="240"/>
      </w:pPr>
      <w:r>
        <w:rPr>
          <w:b/>
          <w:bCs/>
          <w:color w:val="12365A"/>
          <w:sz w:val="24"/>
          <w:szCs w:val="24"/>
        </w:rPr>
        <w:t xml:space="preserve">Références techniques et normatives</w:t>
      </w:r>
    </w:p>
    <w:p>
      <w:pPr>
        <w:spacing w:after="120"/>
        <w:jc w:val="both"/>
      </w:pPr>
      <w:r>
        <w:rPr>
          <w:sz w:val="22"/>
          <w:szCs w:val="22"/>
        </w:rPr>
        <w:t xml:space="preserve">Les travaux sont exécutés dans le respect des règles de l'art et notamment : DTU 59.1 (travaux de peinture) ; NF EN 1004 (échafaudages roulants) ; Étiquetage COV arrêté du 19 avril 2011.</w:t>
      </w:r>
    </w:p>
    <w:p>
      <w:pPr>
        <w:pStyle w:val="Heading1"/>
        <w:spacing w:after="160" w:before="400"/>
      </w:pPr>
      <w:r>
        <w:rPr>
          <w:b/>
          <w:bCs/>
          <w:color w:val="E8630A"/>
          <w:sz w:val="30"/>
          <w:szCs w:val="30"/>
        </w:rPr>
        <w:t xml:space="preserve">9. </w:t>
      </w:r>
      <w:r>
        <w:rPr>
          <w:b/>
          <w:bCs/>
          <w:color w:val="12365A"/>
          <w:sz w:val="30"/>
          <w:szCs w:val="30"/>
        </w:rPr>
        <w:t xml:space="preserve">Références de chantiers similaires</w:t>
      </w:r>
    </w:p>
    <w:p>
      <w:pPr>
        <w:spacing w:after="120"/>
        <w:jc w:val="both"/>
      </w:pPr>
      <w:r>
        <w:rPr>
          <w:sz w:val="22"/>
          <w:szCs w:val="22"/>
        </w:rPr>
        <w:t xml:space="preserve">Les références suivantes, récentes et comparables à l'opération objet du présent marché, attestent de la capacité de Peinture Morel à mener ce chantier à bien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12365A"/>
            <w:tcMar>
              <w:top w:type="dxa" w:w="80"/>
              <w:left w:type="dxa" w:w="120"/>
              <w:bottom w:type="dxa" w:w="80"/>
              <w:right w:type="dxa" w:w="120"/>
            </w:tcMar>
          </w:tcPr>
          <w:p>
            <w:r>
              <w:rPr>
                <w:b/>
                <w:bCs/>
                <w:color w:val="FFFFFF"/>
                <w:sz w:val="20"/>
                <w:szCs w:val="20"/>
              </w:rPr>
              <w:t xml:space="preserve">Client</w:t>
            </w:r>
          </w:p>
        </w:tc>
        <w:tc>
          <w:tcPr>
            <w:shd w:fill="12365A"/>
            <w:tcMar>
              <w:top w:type="dxa" w:w="80"/>
              <w:left w:type="dxa" w:w="120"/>
              <w:bottom w:type="dxa" w:w="80"/>
              <w:right w:type="dxa" w:w="120"/>
            </w:tcMar>
          </w:tcPr>
          <w:p>
            <w:r>
              <w:rPr>
                <w:b/>
                <w:bCs/>
                <w:color w:val="FFFFFF"/>
                <w:sz w:val="20"/>
                <w:szCs w:val="20"/>
              </w:rPr>
              <w:t xml:space="preserve">Objet des travaux</w:t>
            </w:r>
          </w:p>
        </w:tc>
        <w:tc>
          <w:tcPr>
            <w:shd w:fill="12365A"/>
            <w:tcMar>
              <w:top w:type="dxa" w:w="80"/>
              <w:left w:type="dxa" w:w="120"/>
              <w:bottom w:type="dxa" w:w="80"/>
              <w:right w:type="dxa" w:w="120"/>
            </w:tcMar>
          </w:tcPr>
          <w:p>
            <w:r>
              <w:rPr>
                <w:b/>
                <w:bCs/>
                <w:color w:val="FFFFFF"/>
                <w:sz w:val="20"/>
                <w:szCs w:val="20"/>
              </w:rPr>
              <w:t xml:space="preserve">Année</w:t>
            </w:r>
          </w:p>
        </w:tc>
        <w:tc>
          <w:tcPr>
            <w:shd w:fill="12365A"/>
            <w:tcMar>
              <w:top w:type="dxa" w:w="80"/>
              <w:left w:type="dxa" w:w="120"/>
              <w:bottom w:type="dxa" w:w="80"/>
              <w:right w:type="dxa" w:w="120"/>
            </w:tcMar>
          </w:tcPr>
          <w:p>
            <w:r>
              <w:rPr>
                <w:b/>
                <w:bCs/>
                <w:color w:val="FFFFFF"/>
                <w:sz w:val="20"/>
                <w:szCs w:val="20"/>
              </w:rPr>
              <w:t xml:space="preserve">Lieu</w:t>
            </w:r>
          </w:p>
        </w:tc>
        <w:tc>
          <w:tcPr>
            <w:shd w:fill="12365A"/>
            <w:tcMar>
              <w:top w:type="dxa" w:w="80"/>
              <w:left w:type="dxa" w:w="120"/>
              <w:bottom w:type="dxa" w:w="80"/>
              <w:right w:type="dxa" w:w="120"/>
            </w:tcMar>
          </w:tcPr>
          <w:p>
            <w:r>
              <w:rPr>
                <w:b/>
                <w:bCs/>
                <w:color w:val="FFFFFF"/>
                <w:sz w:val="20"/>
                <w:szCs w:val="20"/>
              </w:rPr>
              <w:t xml:space="preserve">Montant</w:t>
            </w:r>
          </w:p>
        </w:tc>
      </w:tr>
      <w:tr>
        <w:tc>
          <w:tcPr>
            <w:tcMar>
              <w:top w:type="dxa" w:w="80"/>
              <w:left w:type="dxa" w:w="120"/>
              <w:bottom w:type="dxa" w:w="80"/>
              <w:right w:type="dxa" w:w="120"/>
            </w:tcMar>
          </w:tcPr>
          <w:p>
            <w:r>
              <w:rPr>
                <w:sz w:val="20"/>
                <w:szCs w:val="20"/>
              </w:rPr>
              <w:t xml:space="preserve">Ville de Rezé</w:t>
            </w:r>
          </w:p>
        </w:tc>
        <w:tc>
          <w:tcPr>
            <w:tcMar>
              <w:top w:type="dxa" w:w="80"/>
              <w:left w:type="dxa" w:w="120"/>
              <w:bottom w:type="dxa" w:w="80"/>
              <w:right w:type="dxa" w:w="120"/>
            </w:tcMar>
          </w:tcPr>
          <w:p>
            <w:r>
              <w:rPr>
                <w:sz w:val="20"/>
                <w:szCs w:val="20"/>
              </w:rPr>
              <w:t xml:space="preserve">Remise en peinture de 3 salles de classe, groupe scolaire Pauline-Roland</w:t>
            </w:r>
          </w:p>
        </w:tc>
        <w:tc>
          <w:tcPr>
            <w:tcMar>
              <w:top w:type="dxa" w:w="80"/>
              <w:left w:type="dxa" w:w="120"/>
              <w:bottom w:type="dxa" w:w="80"/>
              <w:right w:type="dxa" w:w="120"/>
            </w:tcMar>
          </w:tcPr>
          <w:p>
            <w:r>
              <w:rPr>
                <w:sz w:val="20"/>
                <w:szCs w:val="20"/>
              </w:rPr>
              <w:t xml:space="preserve">2025</w:t>
            </w:r>
          </w:p>
        </w:tc>
        <w:tc>
          <w:tcPr>
            <w:tcMar>
              <w:top w:type="dxa" w:w="80"/>
              <w:left w:type="dxa" w:w="120"/>
              <w:bottom w:type="dxa" w:w="80"/>
              <w:right w:type="dxa" w:w="120"/>
            </w:tcMar>
          </w:tcPr>
          <w:p>
            <w:r>
              <w:rPr>
                <w:sz w:val="20"/>
                <w:szCs w:val="20"/>
              </w:rPr>
              <w:t xml:space="preserve">Rezé (44)</w:t>
            </w:r>
          </w:p>
        </w:tc>
        <w:tc>
          <w:tcPr>
            <w:tcMar>
              <w:top w:type="dxa" w:w="80"/>
              <w:left w:type="dxa" w:w="120"/>
              <w:bottom w:type="dxa" w:w="80"/>
              <w:right w:type="dxa" w:w="120"/>
            </w:tcMar>
          </w:tcPr>
          <w:p>
            <w:r>
              <w:rPr>
                <w:sz w:val="20"/>
                <w:szCs w:val="20"/>
              </w:rPr>
              <w:t xml:space="preserve">38 500 €</w:t>
            </w:r>
          </w:p>
        </w:tc>
      </w:tr>
      <w:tr>
        <w:tc>
          <w:tcPr>
            <w:tcMar>
              <w:top w:type="dxa" w:w="80"/>
              <w:left w:type="dxa" w:w="120"/>
              <w:bottom w:type="dxa" w:w="80"/>
              <w:right w:type="dxa" w:w="120"/>
            </w:tcMar>
          </w:tcPr>
          <w:p>
            <w:r>
              <w:rPr>
                <w:sz w:val="20"/>
                <w:szCs w:val="20"/>
              </w:rPr>
              <w:t xml:space="preserve">Nantes Métropole Habitat</w:t>
            </w:r>
          </w:p>
        </w:tc>
        <w:tc>
          <w:tcPr>
            <w:tcMar>
              <w:top w:type="dxa" w:w="80"/>
              <w:left w:type="dxa" w:w="120"/>
              <w:bottom w:type="dxa" w:w="80"/>
              <w:right w:type="dxa" w:w="120"/>
            </w:tcMar>
          </w:tcPr>
          <w:p>
            <w:r>
              <w:rPr>
                <w:sz w:val="20"/>
                <w:szCs w:val="20"/>
              </w:rPr>
              <w:t xml:space="preserve">Rafraîchissement des parties communes, résidence Les Tilleuls (5 cages d'escalier)</w:t>
            </w:r>
          </w:p>
        </w:tc>
        <w:tc>
          <w:tcPr>
            <w:tcMar>
              <w:top w:type="dxa" w:w="80"/>
              <w:left w:type="dxa" w:w="120"/>
              <w:bottom w:type="dxa" w:w="80"/>
              <w:right w:type="dxa" w:w="120"/>
            </w:tcMar>
          </w:tcPr>
          <w:p>
            <w:r>
              <w:rPr>
                <w:sz w:val="20"/>
                <w:szCs w:val="20"/>
              </w:rPr>
              <w:t xml:space="preserve">2024</w:t>
            </w:r>
          </w:p>
        </w:tc>
        <w:tc>
          <w:tcPr>
            <w:tcMar>
              <w:top w:type="dxa" w:w="80"/>
              <w:left w:type="dxa" w:w="120"/>
              <w:bottom w:type="dxa" w:w="80"/>
              <w:right w:type="dxa" w:w="120"/>
            </w:tcMar>
          </w:tcPr>
          <w:p>
            <w:r>
              <w:rPr>
                <w:sz w:val="20"/>
                <w:szCs w:val="20"/>
              </w:rPr>
              <w:t xml:space="preserve">Nantes (44)</w:t>
            </w:r>
          </w:p>
        </w:tc>
        <w:tc>
          <w:tcPr>
            <w:tcMar>
              <w:top w:type="dxa" w:w="80"/>
              <w:left w:type="dxa" w:w="120"/>
              <w:bottom w:type="dxa" w:w="80"/>
              <w:right w:type="dxa" w:w="120"/>
            </w:tcMar>
          </w:tcPr>
          <w:p>
            <w:r>
              <w:rPr>
                <w:sz w:val="20"/>
                <w:szCs w:val="20"/>
              </w:rPr>
              <w:t xml:space="preserve">62 000 €</w:t>
            </w:r>
          </w:p>
        </w:tc>
      </w:tr>
      <w:tr>
        <w:tc>
          <w:tcPr>
            <w:tcMar>
              <w:top w:type="dxa" w:w="80"/>
              <w:left w:type="dxa" w:w="120"/>
              <w:bottom w:type="dxa" w:w="80"/>
              <w:right w:type="dxa" w:w="120"/>
            </w:tcMar>
          </w:tcPr>
          <w:p>
            <w:r>
              <w:rPr>
                <w:sz w:val="20"/>
                <w:szCs w:val="20"/>
              </w:rPr>
              <w:t xml:space="preserve">SARL Boulangerie Guichard</w:t>
            </w:r>
          </w:p>
        </w:tc>
        <w:tc>
          <w:tcPr>
            <w:tcMar>
              <w:top w:type="dxa" w:w="80"/>
              <w:left w:type="dxa" w:w="120"/>
              <w:bottom w:type="dxa" w:w="80"/>
              <w:right w:type="dxa" w:w="120"/>
            </w:tcMar>
          </w:tcPr>
          <w:p>
            <w:r>
              <w:rPr>
                <w:sz w:val="20"/>
                <w:szCs w:val="20"/>
              </w:rPr>
              <w:t xml:space="preserve">Peinture complète du laboratoire et de l'espace de vente, peintures alimentaires</w:t>
            </w:r>
          </w:p>
        </w:tc>
        <w:tc>
          <w:tcPr>
            <w:tcMar>
              <w:top w:type="dxa" w:w="80"/>
              <w:left w:type="dxa" w:w="120"/>
              <w:bottom w:type="dxa" w:w="80"/>
              <w:right w:type="dxa" w:w="120"/>
            </w:tcMar>
          </w:tcPr>
          <w:p>
            <w:r>
              <w:rPr>
                <w:sz w:val="20"/>
                <w:szCs w:val="20"/>
              </w:rPr>
              <w:t xml:space="preserve">2024</w:t>
            </w:r>
          </w:p>
        </w:tc>
        <w:tc>
          <w:tcPr>
            <w:tcMar>
              <w:top w:type="dxa" w:w="80"/>
              <w:left w:type="dxa" w:w="120"/>
              <w:bottom w:type="dxa" w:w="80"/>
              <w:right w:type="dxa" w:w="120"/>
            </w:tcMar>
          </w:tcPr>
          <w:p>
            <w:r>
              <w:rPr>
                <w:sz w:val="20"/>
                <w:szCs w:val="20"/>
              </w:rPr>
              <w:t xml:space="preserve">Saint-Herblain (44)</w:t>
            </w:r>
          </w:p>
        </w:tc>
        <w:tc>
          <w:tcPr>
            <w:tcMar>
              <w:top w:type="dxa" w:w="80"/>
              <w:left w:type="dxa" w:w="120"/>
              <w:bottom w:type="dxa" w:w="80"/>
              <w:right w:type="dxa" w:w="120"/>
            </w:tcMar>
          </w:tcPr>
          <w:p>
            <w:r>
              <w:rPr>
                <w:sz w:val="20"/>
                <w:szCs w:val="20"/>
              </w:rPr>
              <w:t xml:space="preserve">12 300 €</w:t>
            </w:r>
          </w:p>
        </w:tc>
      </w:tr>
    </w:tbl>
    <w:p>
      <w:pPr>
        <w:spacing w:before="400"/>
      </w:pPr>
      <w:r>
        <w:rPr>
          <w:sz w:val="22"/>
          <w:szCs w:val="22"/>
        </w:rPr>
        <w:t xml:space="preserve">Fait pour valoir ce que de droit, à Nantes, le 05/07/2026.</w:t>
      </w:r>
    </w:p>
    <w:p>
      <w:pPr>
        <w:spacing w:before="100"/>
      </w:pPr>
      <w:r>
        <w:rPr>
          <w:b/>
          <w:bCs/>
          <w:sz w:val="22"/>
          <w:szCs w:val="22"/>
        </w:rPr>
        <w:t xml:space="preserve">Julien Morel, Gérant — Peinture Morel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Peinture Morel — Mémoire technique — </w:t>
    </w:r>
    <w:r>
      <w:rPr>
        <w:color w:val="555555"/>
        <w:sz w:val="16"/>
        <w:szCs w:val="16"/>
      </w:rPr>
      <w:t xml:space="preserve">page </w:t>
    </w:r>
    <w:r>
      <w:rPr>
        <w:color w:val="555555"/>
        <w:sz w:val="16"/>
        <w:szCs w:val="16"/>
      </w:rPr>
      <w:fldChar w:fldCharType="begin"/>
      <w:instrText xml:space="preserve">PAGE</w:instrText>
      <w:fldChar w:fldCharType="separate"/>
      <w:fldChar w:fldCharType="end"/>
    </w:r>
    <w:r>
      <w:rPr>
        <w:color w:val="555555"/>
        <w:sz w:val="16"/>
        <w:szCs w:val="16"/>
      </w:rPr>
      <w:t xml:space="preserve"> /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 Travaux de remise en peinture de l'école élémentaire des Treilles — lot 4 : peinture intérieure</dc:title>
  <dc:creator>Peinture Morel</dc:creator>
  <cp:lastModifiedBy>Un-named</cp:lastModifiedBy>
  <cp:revision>1</cp:revision>
  <dcterms:created xsi:type="dcterms:W3CDTF">2026-07-05T09:01:24.832Z</dcterms:created>
  <dcterms:modified xsi:type="dcterms:W3CDTF">2026-07-05T09:01:24.832Z</dcterms:modified>
</cp:coreProperties>
</file>

<file path=docProps/custom.xml><?xml version="1.0" encoding="utf-8"?>
<Properties xmlns="http://schemas.openxmlformats.org/officeDocument/2006/custom-properties" xmlns:vt="http://schemas.openxmlformats.org/officeDocument/2006/docPropsVTypes"/>
</file>